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:rsidR="00C62C22" w:rsidRDefault="00D23EA5" w:rsidP="00D23EA5">
      <w:pPr>
        <w:shd w:val="clear" w:color="auto" w:fill="FFFFFF"/>
        <w:jc w:val="center"/>
        <w:rPr>
          <w:b/>
          <w:iCs/>
          <w:spacing w:val="-6"/>
        </w:rPr>
      </w:pPr>
      <w:r w:rsidRPr="00B423AE">
        <w:rPr>
          <w:b/>
          <w:iCs/>
          <w:spacing w:val="-6"/>
        </w:rPr>
        <w:t>к рабочей программе учебной дисциплины</w:t>
      </w:r>
    </w:p>
    <w:p w:rsidR="0003173C" w:rsidRPr="00A638F9" w:rsidRDefault="00EA23C0" w:rsidP="00EA23C0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372"/>
          <w:tab w:val="left" w:pos="9150"/>
        </w:tabs>
        <w:spacing w:before="240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3173C">
        <w:rPr>
          <w:b/>
        </w:rPr>
        <w:tab/>
      </w:r>
      <w:r w:rsidR="0003173C" w:rsidRPr="00A638F9">
        <w:rPr>
          <w:b/>
          <w:sz w:val="28"/>
          <w:szCs w:val="28"/>
        </w:rPr>
        <w:t>Культура речи</w:t>
      </w:r>
      <w:r>
        <w:rPr>
          <w:b/>
          <w:sz w:val="28"/>
          <w:szCs w:val="28"/>
        </w:rPr>
        <w:tab/>
      </w:r>
    </w:p>
    <w:p w:rsidR="00D23EA5" w:rsidRPr="00B423AE" w:rsidRDefault="00D23EA5" w:rsidP="0003173C">
      <w:pPr>
        <w:shd w:val="clear" w:color="auto" w:fill="FFFFFF"/>
        <w:tabs>
          <w:tab w:val="left" w:pos="4095"/>
        </w:tabs>
        <w:rPr>
          <w:b/>
        </w:rPr>
      </w:pPr>
    </w:p>
    <w:p w:rsidR="00D23EA5" w:rsidRDefault="00D23EA5" w:rsidP="00D23EA5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:rsidR="006D5CBF" w:rsidRPr="006D5CBF" w:rsidRDefault="006D5CBF" w:rsidP="006D5CBF">
      <w:pPr>
        <w:widowControl w:val="0"/>
        <w:spacing w:after="200"/>
        <w:ind w:right="-14"/>
        <w:jc w:val="both"/>
        <w:rPr>
          <w:rFonts w:eastAsia="Calibri"/>
          <w:sz w:val="22"/>
          <w:szCs w:val="22"/>
          <w:lang w:eastAsia="en-US"/>
        </w:rPr>
      </w:pPr>
      <w:r w:rsidRPr="006D5CBF">
        <w:rPr>
          <w:rFonts w:eastAsia="Calibri"/>
          <w:sz w:val="22"/>
          <w:szCs w:val="22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научной специальности 4.2.1 Патология животных, морфология, физиология, фармакология и токсикология, разработанной в соответствии с 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п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>р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и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 xml:space="preserve">казом 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Мин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>обр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н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>аук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и Р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>оссии «Об у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т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>верждении федеральных государстве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нн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>ых требова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ний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 xml:space="preserve"> к структуре 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п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>ро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г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>рамм подго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т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>овки научных и научно</w:t>
      </w:r>
      <w:r w:rsidRPr="006D5CBF">
        <w:rPr>
          <w:rFonts w:eastAsia="Calibri"/>
          <w:color w:val="000000"/>
          <w:w w:val="108"/>
          <w:sz w:val="22"/>
          <w:szCs w:val="22"/>
          <w:lang w:eastAsia="en-US"/>
        </w:rPr>
        <w:t>-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>педагогических кадров в ас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пи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>ра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нт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>уре (ад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ъ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>ю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н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>ктуре), усло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в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>иям их реали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з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>ации, срокам освоения э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т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 xml:space="preserve">их программ с учетом 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р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>азл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и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>ч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н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>ых форм обуче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ни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>я, обра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з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>ова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т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 xml:space="preserve">ельных 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т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>ехнологий и особеннос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т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>ей о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т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>де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льн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>ых кате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г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>ори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й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 xml:space="preserve"> ас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пи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>ра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н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>тов (ад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ъ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>ю</w:t>
      </w:r>
      <w:r w:rsidRPr="006D5CBF">
        <w:rPr>
          <w:rFonts w:eastAsia="OXVXC+TimesNewRomanPSMT"/>
          <w:color w:val="000000"/>
          <w:w w:val="99"/>
          <w:sz w:val="22"/>
          <w:szCs w:val="22"/>
          <w:lang w:eastAsia="en-US"/>
        </w:rPr>
        <w:t>н</w:t>
      </w:r>
      <w:r w:rsidRPr="006D5CBF">
        <w:rPr>
          <w:rFonts w:eastAsia="OXVXC+TimesNewRomanPSMT"/>
          <w:color w:val="000000"/>
          <w:sz w:val="22"/>
          <w:szCs w:val="22"/>
          <w:lang w:eastAsia="en-US"/>
        </w:rPr>
        <w:t xml:space="preserve">ктов)» </w:t>
      </w:r>
      <w:bookmarkStart w:id="0" w:name="_GoBack"/>
      <w:r w:rsidR="00DC523A" w:rsidRPr="00625D67">
        <w:rPr>
          <w:rFonts w:eastAsia="OXVXC+TimesNewRomanPSMT"/>
          <w:color w:val="000000"/>
          <w:sz w:val="22"/>
          <w:szCs w:val="22"/>
          <w:lang w:eastAsia="en-US"/>
        </w:rPr>
        <w:t>РФ от 20.10.2021 г. № 951.</w:t>
      </w:r>
      <w:bookmarkEnd w:id="0"/>
    </w:p>
    <w:p w:rsidR="006D5CBF" w:rsidRPr="006D5CBF" w:rsidRDefault="006D5CBF" w:rsidP="006D5CBF">
      <w:pPr>
        <w:widowControl w:val="0"/>
        <w:numPr>
          <w:ilvl w:val="0"/>
          <w:numId w:val="4"/>
        </w:numPr>
        <w:tabs>
          <w:tab w:val="left" w:pos="993"/>
        </w:tabs>
        <w:spacing w:after="200" w:line="216" w:lineRule="auto"/>
        <w:ind w:left="0" w:firstLine="709"/>
        <w:contextualSpacing/>
        <w:jc w:val="both"/>
        <w:rPr>
          <w:rFonts w:eastAsia="Calibri"/>
          <w:b/>
          <w:bCs/>
          <w:lang w:eastAsia="en-US"/>
        </w:rPr>
      </w:pPr>
      <w:r w:rsidRPr="006D5CBF">
        <w:rPr>
          <w:rFonts w:eastAsia="Calibri"/>
          <w:b/>
          <w:bCs/>
          <w:lang w:eastAsia="en-US"/>
        </w:rPr>
        <w:t xml:space="preserve">Требования к результатам освоения. </w:t>
      </w:r>
    </w:p>
    <w:p w:rsidR="006D5CBF" w:rsidRPr="006D5CBF" w:rsidRDefault="006D5CBF" w:rsidP="006D5CBF">
      <w:pPr>
        <w:tabs>
          <w:tab w:val="left" w:pos="1134"/>
        </w:tabs>
        <w:spacing w:after="200"/>
        <w:rPr>
          <w:rFonts w:eastAsia="Calibri"/>
          <w:sz w:val="22"/>
          <w:szCs w:val="22"/>
          <w:lang w:eastAsia="en-US"/>
        </w:rPr>
      </w:pPr>
      <w:r w:rsidRPr="006D5CBF">
        <w:rPr>
          <w:rFonts w:eastAsia="Calibri"/>
          <w:sz w:val="22"/>
          <w:szCs w:val="22"/>
          <w:lang w:eastAsia="en-US"/>
        </w:rPr>
        <w:t>Формируемые знания, умения и навыки:</w:t>
      </w:r>
    </w:p>
    <w:p w:rsidR="00342E61" w:rsidRPr="00342E61" w:rsidRDefault="00342E61" w:rsidP="00342E61">
      <w:pPr>
        <w:ind w:firstLine="709"/>
        <w:jc w:val="both"/>
        <w:rPr>
          <w:sz w:val="22"/>
          <w:szCs w:val="22"/>
        </w:rPr>
      </w:pPr>
      <w:r w:rsidRPr="00342E61">
        <w:rPr>
          <w:sz w:val="22"/>
          <w:szCs w:val="22"/>
        </w:rPr>
        <w:t>З</w:t>
      </w:r>
      <w:r w:rsidRPr="00342E61">
        <w:rPr>
          <w:i/>
          <w:sz w:val="22"/>
          <w:szCs w:val="22"/>
        </w:rPr>
        <w:t>нания:</w:t>
      </w:r>
      <w:r w:rsidRPr="00342E61">
        <w:rPr>
          <w:sz w:val="22"/>
          <w:szCs w:val="22"/>
        </w:rPr>
        <w:t xml:space="preserve"> специфики осуществления профессиональной коммуникации на государственном (русском) и иностранном языках, базовые технологии восприятия и воспроизведения информации на государственном или иностранном языке; современные технологии обучения в вузе; этапы риторической разработки речи; источники нахождения материала выступления; специфику работы оратора в разных типах аудиторий;</w:t>
      </w:r>
    </w:p>
    <w:p w:rsidR="00342E61" w:rsidRPr="00342E61" w:rsidRDefault="00342E61" w:rsidP="00342E61">
      <w:pPr>
        <w:ind w:firstLine="709"/>
        <w:jc w:val="both"/>
        <w:rPr>
          <w:sz w:val="22"/>
          <w:szCs w:val="22"/>
        </w:rPr>
      </w:pPr>
      <w:r w:rsidRPr="00342E61">
        <w:rPr>
          <w:i/>
          <w:iCs/>
          <w:sz w:val="22"/>
          <w:szCs w:val="22"/>
        </w:rPr>
        <w:t xml:space="preserve"> Умения:</w:t>
      </w:r>
      <w:r w:rsidRPr="00342E61">
        <w:rPr>
          <w:sz w:val="22"/>
          <w:szCs w:val="22"/>
          <w:lang w:eastAsia="x-none"/>
        </w:rPr>
        <w:t xml:space="preserve"> </w:t>
      </w:r>
      <w:r w:rsidRPr="00342E61">
        <w:rPr>
          <w:sz w:val="22"/>
          <w:szCs w:val="22"/>
        </w:rPr>
        <w:t xml:space="preserve">применять различные виды и формы профессиональной коммуникации на государственном (русском) и иностранном языках в ходе педагогической и исследовательской деятельности; осуществлять отбор и использовать оптимальные методы преподавания; анализировать проблемную ситуацию; находить и формулировать тему, ставить цель речи; планировать публичное выступление с учетом разных факторов; </w:t>
      </w:r>
    </w:p>
    <w:p w:rsidR="00342E61" w:rsidRPr="00342E61" w:rsidRDefault="00342E61" w:rsidP="00342E61">
      <w:pPr>
        <w:ind w:firstLine="709"/>
        <w:jc w:val="both"/>
        <w:rPr>
          <w:spacing w:val="-4"/>
          <w:sz w:val="22"/>
          <w:szCs w:val="22"/>
        </w:rPr>
      </w:pPr>
      <w:r w:rsidRPr="00342E61">
        <w:rPr>
          <w:i/>
          <w:sz w:val="22"/>
          <w:szCs w:val="22"/>
        </w:rPr>
        <w:t>Навык:</w:t>
      </w:r>
      <w:r w:rsidRPr="00342E61">
        <w:rPr>
          <w:spacing w:val="-4"/>
          <w:sz w:val="22"/>
          <w:szCs w:val="22"/>
        </w:rPr>
        <w:t xml:space="preserve"> владение коммуникативными навыками в процессе профессионального общения; владение технологией проектирования образовательного процесса на уровне высшего образования; навыками подбора материала для будущей речи; владение приемами привлечения и удержания внимания аудитории; </w:t>
      </w:r>
    </w:p>
    <w:p w:rsidR="00342E61" w:rsidRPr="00342E61" w:rsidRDefault="00342E61" w:rsidP="00342E61">
      <w:pPr>
        <w:ind w:firstLine="709"/>
        <w:jc w:val="both"/>
        <w:rPr>
          <w:sz w:val="22"/>
          <w:szCs w:val="22"/>
        </w:rPr>
      </w:pPr>
      <w:r w:rsidRPr="00342E61">
        <w:rPr>
          <w:i/>
          <w:sz w:val="22"/>
          <w:szCs w:val="22"/>
        </w:rPr>
        <w:t>Опыт деятельности:</w:t>
      </w:r>
      <w:r w:rsidRPr="00342E61">
        <w:rPr>
          <w:sz w:val="22"/>
          <w:szCs w:val="22"/>
        </w:rPr>
        <w:t xml:space="preserve"> использует современные методы и технологии научной коммуникации на государственном и иностранном языках с учетом собственного опыта; разрабатывает и осуществляет педагогическую деятельность по основным образовательным программам высшего образования, учитывая нюансы речевой культуры; осуществляет преподавательскую деятельность в соответствующей профессиональной области, используя грамотно поставленную речь.</w:t>
      </w:r>
    </w:p>
    <w:p w:rsidR="00342E61" w:rsidRPr="00342E61" w:rsidRDefault="00342E61" w:rsidP="00342E61">
      <w:pPr>
        <w:suppressAutoHyphens/>
        <w:ind w:firstLine="709"/>
        <w:jc w:val="both"/>
        <w:textAlignment w:val="baseline"/>
        <w:rPr>
          <w:sz w:val="22"/>
          <w:szCs w:val="22"/>
          <w:lang w:eastAsia="en-US"/>
        </w:rPr>
      </w:pPr>
      <w:r w:rsidRPr="00342E61">
        <w:rPr>
          <w:b/>
          <w:kern w:val="3"/>
          <w:sz w:val="22"/>
          <w:szCs w:val="22"/>
        </w:rPr>
        <w:t xml:space="preserve">3. Содержание программы дисциплины: </w:t>
      </w:r>
      <w:r w:rsidRPr="00342E61">
        <w:rPr>
          <w:rFonts w:eastAsia="Calibri"/>
          <w:sz w:val="22"/>
          <w:szCs w:val="22"/>
          <w:lang w:eastAsia="en-US"/>
        </w:rPr>
        <w:t>Раздел</w:t>
      </w:r>
      <w:r w:rsidRPr="00342E61">
        <w:rPr>
          <w:b/>
          <w:kern w:val="3"/>
          <w:sz w:val="22"/>
          <w:szCs w:val="22"/>
        </w:rPr>
        <w:t xml:space="preserve"> </w:t>
      </w:r>
      <w:r w:rsidRPr="00342E61">
        <w:rPr>
          <w:kern w:val="3"/>
          <w:sz w:val="22"/>
          <w:szCs w:val="22"/>
        </w:rPr>
        <w:t>1.</w:t>
      </w:r>
      <w:r w:rsidRPr="00342E61">
        <w:rPr>
          <w:b/>
          <w:kern w:val="3"/>
          <w:sz w:val="22"/>
          <w:szCs w:val="22"/>
        </w:rPr>
        <w:t xml:space="preserve"> </w:t>
      </w:r>
      <w:r w:rsidRPr="00342E61">
        <w:rPr>
          <w:sz w:val="22"/>
          <w:szCs w:val="22"/>
          <w:lang w:eastAsia="en-US"/>
        </w:rPr>
        <w:t xml:space="preserve">Публичная речь как часть культуры речевого общения; </w:t>
      </w:r>
      <w:r w:rsidRPr="00342E61">
        <w:rPr>
          <w:rFonts w:eastAsia="Calibri"/>
          <w:sz w:val="22"/>
          <w:szCs w:val="22"/>
          <w:lang w:eastAsia="en-US"/>
        </w:rPr>
        <w:t>Раздел</w:t>
      </w:r>
      <w:r w:rsidRPr="00342E61">
        <w:rPr>
          <w:sz w:val="22"/>
          <w:szCs w:val="22"/>
          <w:lang w:eastAsia="en-US"/>
        </w:rPr>
        <w:t xml:space="preserve"> 2. Лингвистические средства передачи публичной речи; </w:t>
      </w:r>
      <w:r w:rsidRPr="00342E61">
        <w:rPr>
          <w:rFonts w:eastAsia="Calibri"/>
          <w:sz w:val="22"/>
          <w:szCs w:val="22"/>
          <w:lang w:eastAsia="en-US"/>
        </w:rPr>
        <w:t>Раздел</w:t>
      </w:r>
      <w:r w:rsidRPr="00342E61">
        <w:rPr>
          <w:sz w:val="22"/>
          <w:szCs w:val="22"/>
          <w:lang w:eastAsia="en-US"/>
        </w:rPr>
        <w:t xml:space="preserve"> 3. Социо- и фоностилистические характеристики публичной речи; </w:t>
      </w:r>
      <w:r w:rsidRPr="00342E61">
        <w:rPr>
          <w:rFonts w:eastAsia="Calibri"/>
          <w:sz w:val="22"/>
          <w:szCs w:val="22"/>
          <w:lang w:eastAsia="en-US"/>
        </w:rPr>
        <w:t>Раздел</w:t>
      </w:r>
      <w:r w:rsidRPr="00342E61">
        <w:rPr>
          <w:sz w:val="22"/>
          <w:szCs w:val="22"/>
          <w:lang w:eastAsia="en-US"/>
        </w:rPr>
        <w:t xml:space="preserve"> 4. Основы мастерства публичного выступления; </w:t>
      </w:r>
      <w:r w:rsidRPr="00342E61">
        <w:rPr>
          <w:rFonts w:eastAsia="Calibri"/>
          <w:sz w:val="22"/>
          <w:szCs w:val="22"/>
          <w:lang w:eastAsia="en-US"/>
        </w:rPr>
        <w:t>Раздел</w:t>
      </w:r>
      <w:r w:rsidRPr="00342E61">
        <w:rPr>
          <w:sz w:val="22"/>
          <w:szCs w:val="22"/>
          <w:lang w:eastAsia="en-US"/>
        </w:rPr>
        <w:t xml:space="preserve"> 5. Виды и техники слушания. Риторическая теория и риторическая практика как отражение общих закономерностей речевого поведения в процессе общения; </w:t>
      </w:r>
      <w:r w:rsidRPr="00342E61">
        <w:rPr>
          <w:rFonts w:eastAsia="Calibri"/>
          <w:sz w:val="22"/>
          <w:szCs w:val="22"/>
          <w:lang w:eastAsia="en-US"/>
        </w:rPr>
        <w:t>Раздел</w:t>
      </w:r>
      <w:r w:rsidRPr="00342E61">
        <w:rPr>
          <w:sz w:val="22"/>
          <w:szCs w:val="22"/>
          <w:lang w:eastAsia="en-US"/>
        </w:rPr>
        <w:t xml:space="preserve"> 6. Методики установления контактов.</w:t>
      </w:r>
      <w:r w:rsidRPr="00342E61">
        <w:rPr>
          <w:rFonts w:eastAsia="Calibri"/>
          <w:sz w:val="22"/>
          <w:szCs w:val="22"/>
          <w:lang w:eastAsia="en-US"/>
        </w:rPr>
        <w:t xml:space="preserve"> Раздел</w:t>
      </w:r>
      <w:r w:rsidRPr="00342E61">
        <w:rPr>
          <w:sz w:val="22"/>
          <w:szCs w:val="22"/>
          <w:lang w:eastAsia="en-US"/>
        </w:rPr>
        <w:t xml:space="preserve"> 7. Основы полемического мастерства.</w:t>
      </w:r>
    </w:p>
    <w:p w:rsidR="00342E61" w:rsidRPr="00342E61" w:rsidRDefault="00342E61" w:rsidP="00342E61">
      <w:pPr>
        <w:widowControl w:val="0"/>
        <w:tabs>
          <w:tab w:val="left" w:pos="993"/>
        </w:tabs>
        <w:spacing w:line="216" w:lineRule="auto"/>
        <w:ind w:firstLine="709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342E61">
        <w:rPr>
          <w:rFonts w:eastAsia="Calibri"/>
          <w:b/>
          <w:bCs/>
          <w:sz w:val="22"/>
          <w:szCs w:val="22"/>
          <w:lang w:eastAsia="en-US"/>
        </w:rPr>
        <w:t>4.  Форма промежуточной аттестации</w:t>
      </w:r>
      <w:r w:rsidRPr="00342E61">
        <w:rPr>
          <w:rFonts w:eastAsia="Calibri"/>
          <w:b/>
          <w:sz w:val="22"/>
          <w:szCs w:val="22"/>
          <w:lang w:eastAsia="en-US"/>
        </w:rPr>
        <w:t xml:space="preserve">: </w:t>
      </w:r>
      <w:r w:rsidRPr="00342E61">
        <w:rPr>
          <w:rFonts w:eastAsia="Calibri"/>
          <w:sz w:val="22"/>
          <w:szCs w:val="22"/>
          <w:lang w:eastAsia="en-US"/>
        </w:rPr>
        <w:t>зачет.</w:t>
      </w:r>
    </w:p>
    <w:p w:rsidR="00564AA3" w:rsidRPr="00B423AE" w:rsidRDefault="00342E61" w:rsidP="008B6794">
      <w:pPr>
        <w:widowControl w:val="0"/>
        <w:tabs>
          <w:tab w:val="left" w:pos="993"/>
        </w:tabs>
        <w:spacing w:line="216" w:lineRule="auto"/>
        <w:ind w:firstLine="709"/>
        <w:contextualSpacing/>
        <w:jc w:val="both"/>
      </w:pPr>
      <w:r w:rsidRPr="00342E61">
        <w:rPr>
          <w:rFonts w:eastAsia="Calibri"/>
          <w:bCs/>
          <w:sz w:val="22"/>
          <w:szCs w:val="22"/>
          <w:lang w:eastAsia="en-US"/>
        </w:rPr>
        <w:t>5</w:t>
      </w:r>
      <w:r w:rsidRPr="00342E61">
        <w:rPr>
          <w:rFonts w:eastAsia="Calibri"/>
          <w:b/>
          <w:bCs/>
          <w:sz w:val="22"/>
          <w:szCs w:val="22"/>
          <w:lang w:eastAsia="en-US"/>
        </w:rPr>
        <w:t>.  Разработчик</w:t>
      </w:r>
      <w:r w:rsidRPr="00342E61">
        <w:rPr>
          <w:rFonts w:eastAsia="Calibri"/>
          <w:sz w:val="22"/>
          <w:szCs w:val="22"/>
          <w:lang w:eastAsia="en-US"/>
        </w:rPr>
        <w:t xml:space="preserve">: </w:t>
      </w:r>
      <w:r w:rsidR="00DC523A">
        <w:rPr>
          <w:rFonts w:eastAsia="Calibri"/>
          <w:sz w:val="22"/>
          <w:szCs w:val="22"/>
          <w:lang w:eastAsia="en-US"/>
        </w:rPr>
        <w:t xml:space="preserve">канд. филол. наук, </w:t>
      </w:r>
      <w:r w:rsidR="008B6794" w:rsidRPr="008B6794">
        <w:rPr>
          <w:rFonts w:eastAsia="Calibri"/>
          <w:sz w:val="22"/>
          <w:szCs w:val="22"/>
          <w:lang w:eastAsia="en-US"/>
        </w:rPr>
        <w:t>доцент кафедры иностранного языка и социально-гуманитарных дисциплин</w:t>
      </w:r>
      <w:r w:rsidR="00DC523A">
        <w:rPr>
          <w:rFonts w:eastAsia="Calibri"/>
          <w:sz w:val="22"/>
          <w:szCs w:val="22"/>
          <w:lang w:eastAsia="en-US"/>
        </w:rPr>
        <w:t xml:space="preserve"> </w:t>
      </w:r>
      <w:r w:rsidR="00DC523A" w:rsidRPr="008B6794">
        <w:rPr>
          <w:rFonts w:eastAsia="Calibri"/>
          <w:sz w:val="22"/>
          <w:szCs w:val="22"/>
          <w:lang w:eastAsia="en-US"/>
        </w:rPr>
        <w:t>Островская К.З.,</w:t>
      </w:r>
    </w:p>
    <w:sectPr w:rsidR="00564AA3" w:rsidRPr="00B423AE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1D0" w:rsidRDefault="007501D0" w:rsidP="001804D0">
      <w:r>
        <w:separator/>
      </w:r>
    </w:p>
  </w:endnote>
  <w:endnote w:type="continuationSeparator" w:id="0">
    <w:p w:rsidR="007501D0" w:rsidRDefault="007501D0" w:rsidP="0018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1D0" w:rsidRDefault="007501D0" w:rsidP="001804D0">
      <w:r>
        <w:separator/>
      </w:r>
    </w:p>
  </w:footnote>
  <w:footnote w:type="continuationSeparator" w:id="0">
    <w:p w:rsidR="007501D0" w:rsidRDefault="007501D0" w:rsidP="00180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65B"/>
    <w:rsid w:val="0003173C"/>
    <w:rsid w:val="00037AFA"/>
    <w:rsid w:val="000E401A"/>
    <w:rsid w:val="001804D0"/>
    <w:rsid w:val="00342E61"/>
    <w:rsid w:val="00381B92"/>
    <w:rsid w:val="003D0866"/>
    <w:rsid w:val="003F3263"/>
    <w:rsid w:val="00564AA3"/>
    <w:rsid w:val="006D5CBF"/>
    <w:rsid w:val="007501D0"/>
    <w:rsid w:val="007B0A09"/>
    <w:rsid w:val="008B6794"/>
    <w:rsid w:val="00902A7C"/>
    <w:rsid w:val="009166AC"/>
    <w:rsid w:val="00991735"/>
    <w:rsid w:val="00A22D0C"/>
    <w:rsid w:val="00A4279D"/>
    <w:rsid w:val="00A53CFC"/>
    <w:rsid w:val="00B423AE"/>
    <w:rsid w:val="00B8265B"/>
    <w:rsid w:val="00C414FC"/>
    <w:rsid w:val="00C62C22"/>
    <w:rsid w:val="00D23EA5"/>
    <w:rsid w:val="00D32848"/>
    <w:rsid w:val="00DC523A"/>
    <w:rsid w:val="00E62C9E"/>
    <w:rsid w:val="00EA23C0"/>
    <w:rsid w:val="00FF5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2A4BC-0FB2-446D-B15F-342CDD7F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804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0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804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04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Учетная запись Майкрософт</cp:lastModifiedBy>
  <cp:revision>20</cp:revision>
  <dcterms:created xsi:type="dcterms:W3CDTF">2018-04-26T18:37:00Z</dcterms:created>
  <dcterms:modified xsi:type="dcterms:W3CDTF">2023-06-21T11:47:00Z</dcterms:modified>
</cp:coreProperties>
</file>