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3DF98" w14:textId="77777777" w:rsidR="00306F2A" w:rsidRPr="000323DF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0323DF">
        <w:rPr>
          <w:b/>
          <w:sz w:val="22"/>
          <w:szCs w:val="22"/>
        </w:rPr>
        <w:t>АННОТАЦИЯ</w:t>
      </w:r>
    </w:p>
    <w:p w14:paraId="2B85C627" w14:textId="77777777" w:rsidR="00306F2A" w:rsidRPr="000323DF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0323DF">
        <w:rPr>
          <w:b/>
          <w:sz w:val="22"/>
          <w:szCs w:val="22"/>
        </w:rPr>
        <w:t xml:space="preserve">к рабочей программе учебной дисциплины </w:t>
      </w:r>
    </w:p>
    <w:p w14:paraId="460F8A6D" w14:textId="1092D049" w:rsidR="00306F2A" w:rsidRPr="000323DF" w:rsidRDefault="00306F2A" w:rsidP="00306F2A">
      <w:pPr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0323DF">
        <w:rPr>
          <w:b/>
          <w:bCs/>
          <w:spacing w:val="-6"/>
          <w:sz w:val="22"/>
          <w:szCs w:val="22"/>
          <w:u w:val="single"/>
        </w:rPr>
        <w:t>О</w:t>
      </w:r>
      <w:r w:rsidR="007F1E3E" w:rsidRPr="000323DF">
        <w:rPr>
          <w:b/>
          <w:bCs/>
          <w:spacing w:val="-6"/>
          <w:sz w:val="22"/>
          <w:szCs w:val="22"/>
          <w:u w:val="single"/>
        </w:rPr>
        <w:t xml:space="preserve">сновы научных исследований </w:t>
      </w:r>
    </w:p>
    <w:p w14:paraId="5D3E63A5" w14:textId="77777777" w:rsidR="00306F2A" w:rsidRPr="000323DF" w:rsidRDefault="00306F2A" w:rsidP="00306F2A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</w:rPr>
      </w:pPr>
    </w:p>
    <w:p w14:paraId="3D8187EF" w14:textId="77777777" w:rsidR="00306F2A" w:rsidRPr="000323DF" w:rsidRDefault="00306F2A" w:rsidP="00306F2A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0323DF">
        <w:rPr>
          <w:b/>
          <w:sz w:val="22"/>
          <w:szCs w:val="22"/>
        </w:rPr>
        <w:t>Общая характеристика:</w:t>
      </w:r>
    </w:p>
    <w:p w14:paraId="728EEDFF" w14:textId="35DB465C" w:rsidR="002358AA" w:rsidRPr="000323DF" w:rsidRDefault="00306F2A" w:rsidP="002358AA">
      <w:pPr>
        <w:widowControl w:val="0"/>
        <w:spacing w:line="240" w:lineRule="auto"/>
        <w:ind w:left="1" w:right="-14" w:firstLine="719"/>
        <w:rPr>
          <w:color w:val="000000"/>
          <w:sz w:val="22"/>
          <w:szCs w:val="22"/>
        </w:rPr>
      </w:pPr>
      <w:r w:rsidRPr="000323DF">
        <w:rPr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</w:t>
      </w:r>
      <w:r w:rsidR="002358AA" w:rsidRPr="000323DF">
        <w:rPr>
          <w:sz w:val="22"/>
          <w:szCs w:val="22"/>
        </w:rPr>
        <w:t xml:space="preserve">научной специальности </w:t>
      </w:r>
      <w:r w:rsidR="002358AA" w:rsidRPr="000323DF">
        <w:rPr>
          <w:b/>
          <w:sz w:val="22"/>
          <w:szCs w:val="22"/>
        </w:rPr>
        <w:t>4.1.4 Садоводство, овощеводство, виноградарство и лекарственные культуры</w:t>
      </w:r>
      <w:r w:rsidRPr="000323DF">
        <w:rPr>
          <w:sz w:val="22"/>
          <w:szCs w:val="22"/>
        </w:rPr>
        <w:t xml:space="preserve">, разработанной в соответствии с 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п</w:t>
      </w:r>
      <w:r w:rsidR="002358AA" w:rsidRPr="000323DF">
        <w:rPr>
          <w:rFonts w:eastAsia="OXVXC+TimesNewRomanPSMT"/>
          <w:color w:val="000000"/>
          <w:sz w:val="22"/>
          <w:szCs w:val="22"/>
        </w:rPr>
        <w:t>р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и</w:t>
      </w:r>
      <w:r w:rsidR="002358AA" w:rsidRPr="000323DF">
        <w:rPr>
          <w:rFonts w:eastAsia="OXVXC+TimesNewRomanPSMT"/>
          <w:color w:val="000000"/>
          <w:sz w:val="22"/>
          <w:szCs w:val="22"/>
        </w:rPr>
        <w:t xml:space="preserve">казом 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Мин</w:t>
      </w:r>
      <w:r w:rsidR="002358AA" w:rsidRPr="000323DF">
        <w:rPr>
          <w:rFonts w:eastAsia="OXVXC+TimesNewRomanPSMT"/>
          <w:color w:val="000000"/>
          <w:sz w:val="22"/>
          <w:szCs w:val="22"/>
        </w:rPr>
        <w:t>обр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н</w:t>
      </w:r>
      <w:r w:rsidR="002358AA" w:rsidRPr="000323DF">
        <w:rPr>
          <w:rFonts w:eastAsia="OXVXC+TimesNewRomanPSMT"/>
          <w:color w:val="000000"/>
          <w:sz w:val="22"/>
          <w:szCs w:val="22"/>
        </w:rPr>
        <w:t>аук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и</w:t>
      </w:r>
      <w:r w:rsidR="002358AA" w:rsidRPr="000323DF">
        <w:rPr>
          <w:rFonts w:eastAsia="OXVXC+TimesNewRomanPSMT"/>
          <w:color w:val="000000"/>
          <w:sz w:val="22"/>
          <w:szCs w:val="22"/>
        </w:rPr>
        <w:t xml:space="preserve"> 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Р</w:t>
      </w:r>
      <w:r w:rsidR="002358AA" w:rsidRPr="000323DF">
        <w:rPr>
          <w:rFonts w:eastAsia="OXVXC+TimesNewRomanPSMT"/>
          <w:color w:val="000000"/>
          <w:sz w:val="22"/>
          <w:szCs w:val="22"/>
        </w:rPr>
        <w:t>оссии «Об у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0323DF">
        <w:rPr>
          <w:rFonts w:eastAsia="OXVXC+TimesNewRomanPSMT"/>
          <w:color w:val="000000"/>
          <w:sz w:val="22"/>
          <w:szCs w:val="22"/>
        </w:rPr>
        <w:t>верждении федеральных государстве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нн</w:t>
      </w:r>
      <w:r w:rsidR="002358AA" w:rsidRPr="000323DF">
        <w:rPr>
          <w:rFonts w:eastAsia="OXVXC+TimesNewRomanPSMT"/>
          <w:color w:val="000000"/>
          <w:sz w:val="22"/>
          <w:szCs w:val="22"/>
        </w:rPr>
        <w:t>ых требова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ний</w:t>
      </w:r>
      <w:r w:rsidR="002358AA" w:rsidRPr="000323DF">
        <w:rPr>
          <w:rFonts w:eastAsia="OXVXC+TimesNewRomanPSMT"/>
          <w:color w:val="000000"/>
          <w:sz w:val="22"/>
          <w:szCs w:val="22"/>
        </w:rPr>
        <w:t xml:space="preserve"> к структуре 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п</w:t>
      </w:r>
      <w:r w:rsidR="002358AA" w:rsidRPr="000323DF">
        <w:rPr>
          <w:rFonts w:eastAsia="OXVXC+TimesNewRomanPSMT"/>
          <w:color w:val="000000"/>
          <w:sz w:val="22"/>
          <w:szCs w:val="22"/>
        </w:rPr>
        <w:t>ро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г</w:t>
      </w:r>
      <w:r w:rsidR="002358AA" w:rsidRPr="000323DF">
        <w:rPr>
          <w:rFonts w:eastAsia="OXVXC+TimesNewRomanPSMT"/>
          <w:color w:val="000000"/>
          <w:sz w:val="22"/>
          <w:szCs w:val="22"/>
        </w:rPr>
        <w:t>рамм подго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0323DF">
        <w:rPr>
          <w:rFonts w:eastAsia="OXVXC+TimesNewRomanPSMT"/>
          <w:color w:val="000000"/>
          <w:sz w:val="22"/>
          <w:szCs w:val="22"/>
        </w:rPr>
        <w:t>овки научных и научно</w:t>
      </w:r>
      <w:r w:rsidR="002358AA" w:rsidRPr="000323DF">
        <w:rPr>
          <w:color w:val="000000"/>
          <w:w w:val="108"/>
          <w:sz w:val="22"/>
          <w:szCs w:val="22"/>
        </w:rPr>
        <w:t>-</w:t>
      </w:r>
      <w:r w:rsidR="002358AA" w:rsidRPr="000323DF">
        <w:rPr>
          <w:rFonts w:eastAsia="OXVXC+TimesNewRomanPSMT"/>
          <w:color w:val="000000"/>
          <w:sz w:val="22"/>
          <w:szCs w:val="22"/>
        </w:rPr>
        <w:t>педагогических кадров в ас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пи</w:t>
      </w:r>
      <w:r w:rsidR="002358AA" w:rsidRPr="000323DF">
        <w:rPr>
          <w:rFonts w:eastAsia="OXVXC+TimesNewRomanPSMT"/>
          <w:color w:val="000000"/>
          <w:sz w:val="22"/>
          <w:szCs w:val="22"/>
        </w:rPr>
        <w:t>ра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нт</w:t>
      </w:r>
      <w:r w:rsidR="002358AA" w:rsidRPr="000323DF">
        <w:rPr>
          <w:rFonts w:eastAsia="OXVXC+TimesNewRomanPSMT"/>
          <w:color w:val="000000"/>
          <w:sz w:val="22"/>
          <w:szCs w:val="22"/>
        </w:rPr>
        <w:t>уре (ад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ъ</w:t>
      </w:r>
      <w:r w:rsidR="002358AA" w:rsidRPr="000323DF">
        <w:rPr>
          <w:rFonts w:eastAsia="OXVXC+TimesNewRomanPSMT"/>
          <w:color w:val="000000"/>
          <w:sz w:val="22"/>
          <w:szCs w:val="22"/>
        </w:rPr>
        <w:t>ю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н</w:t>
      </w:r>
      <w:r w:rsidR="002358AA" w:rsidRPr="000323DF">
        <w:rPr>
          <w:rFonts w:eastAsia="OXVXC+TimesNewRomanPSMT"/>
          <w:color w:val="000000"/>
          <w:sz w:val="22"/>
          <w:szCs w:val="22"/>
        </w:rPr>
        <w:t>ктуре), усло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в</w:t>
      </w:r>
      <w:r w:rsidR="002358AA" w:rsidRPr="000323DF">
        <w:rPr>
          <w:rFonts w:eastAsia="OXVXC+TimesNewRomanPSMT"/>
          <w:color w:val="000000"/>
          <w:sz w:val="22"/>
          <w:szCs w:val="22"/>
        </w:rPr>
        <w:t>иям их реали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з</w:t>
      </w:r>
      <w:r w:rsidR="002358AA" w:rsidRPr="000323DF">
        <w:rPr>
          <w:rFonts w:eastAsia="OXVXC+TimesNewRomanPSMT"/>
          <w:color w:val="000000"/>
          <w:sz w:val="22"/>
          <w:szCs w:val="22"/>
        </w:rPr>
        <w:t>ации, срокам освоения э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0323DF">
        <w:rPr>
          <w:rFonts w:eastAsia="OXVXC+TimesNewRomanPSMT"/>
          <w:color w:val="000000"/>
          <w:sz w:val="22"/>
          <w:szCs w:val="22"/>
        </w:rPr>
        <w:t xml:space="preserve">их программ с учетом 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р</w:t>
      </w:r>
      <w:r w:rsidR="002358AA" w:rsidRPr="000323DF">
        <w:rPr>
          <w:rFonts w:eastAsia="OXVXC+TimesNewRomanPSMT"/>
          <w:color w:val="000000"/>
          <w:sz w:val="22"/>
          <w:szCs w:val="22"/>
        </w:rPr>
        <w:t>азл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и</w:t>
      </w:r>
      <w:r w:rsidR="002358AA" w:rsidRPr="000323DF">
        <w:rPr>
          <w:rFonts w:eastAsia="OXVXC+TimesNewRomanPSMT"/>
          <w:color w:val="000000"/>
          <w:sz w:val="22"/>
          <w:szCs w:val="22"/>
        </w:rPr>
        <w:t>ч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н</w:t>
      </w:r>
      <w:r w:rsidR="002358AA" w:rsidRPr="000323DF">
        <w:rPr>
          <w:rFonts w:eastAsia="OXVXC+TimesNewRomanPSMT"/>
          <w:color w:val="000000"/>
          <w:sz w:val="22"/>
          <w:szCs w:val="22"/>
        </w:rPr>
        <w:t>ых форм обуче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ни</w:t>
      </w:r>
      <w:r w:rsidR="002358AA" w:rsidRPr="000323DF">
        <w:rPr>
          <w:rFonts w:eastAsia="OXVXC+TimesNewRomanPSMT"/>
          <w:color w:val="000000"/>
          <w:sz w:val="22"/>
          <w:szCs w:val="22"/>
        </w:rPr>
        <w:t>я, обра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з</w:t>
      </w:r>
      <w:r w:rsidR="002358AA" w:rsidRPr="000323DF">
        <w:rPr>
          <w:rFonts w:eastAsia="OXVXC+TimesNewRomanPSMT"/>
          <w:color w:val="000000"/>
          <w:sz w:val="22"/>
          <w:szCs w:val="22"/>
        </w:rPr>
        <w:t>ова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0323DF">
        <w:rPr>
          <w:rFonts w:eastAsia="OXVXC+TimesNewRomanPSMT"/>
          <w:color w:val="000000"/>
          <w:sz w:val="22"/>
          <w:szCs w:val="22"/>
        </w:rPr>
        <w:t xml:space="preserve">ельных 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0323DF">
        <w:rPr>
          <w:rFonts w:eastAsia="OXVXC+TimesNewRomanPSMT"/>
          <w:color w:val="000000"/>
          <w:sz w:val="22"/>
          <w:szCs w:val="22"/>
        </w:rPr>
        <w:t>ехнологий и особеннос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0323DF">
        <w:rPr>
          <w:rFonts w:eastAsia="OXVXC+TimesNewRomanPSMT"/>
          <w:color w:val="000000"/>
          <w:sz w:val="22"/>
          <w:szCs w:val="22"/>
        </w:rPr>
        <w:t>ей о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0323DF">
        <w:rPr>
          <w:rFonts w:eastAsia="OXVXC+TimesNewRomanPSMT"/>
          <w:color w:val="000000"/>
          <w:sz w:val="22"/>
          <w:szCs w:val="22"/>
        </w:rPr>
        <w:t>де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льн</w:t>
      </w:r>
      <w:r w:rsidR="002358AA" w:rsidRPr="000323DF">
        <w:rPr>
          <w:rFonts w:eastAsia="OXVXC+TimesNewRomanPSMT"/>
          <w:color w:val="000000"/>
          <w:sz w:val="22"/>
          <w:szCs w:val="22"/>
        </w:rPr>
        <w:t>ых кате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г</w:t>
      </w:r>
      <w:r w:rsidR="002358AA" w:rsidRPr="000323DF">
        <w:rPr>
          <w:rFonts w:eastAsia="OXVXC+TimesNewRomanPSMT"/>
          <w:color w:val="000000"/>
          <w:sz w:val="22"/>
          <w:szCs w:val="22"/>
        </w:rPr>
        <w:t>ори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й</w:t>
      </w:r>
      <w:r w:rsidR="002358AA" w:rsidRPr="000323DF">
        <w:rPr>
          <w:rFonts w:eastAsia="OXVXC+TimesNewRomanPSMT"/>
          <w:color w:val="000000"/>
          <w:sz w:val="22"/>
          <w:szCs w:val="22"/>
        </w:rPr>
        <w:t xml:space="preserve"> ас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пи</w:t>
      </w:r>
      <w:r w:rsidR="002358AA" w:rsidRPr="000323DF">
        <w:rPr>
          <w:rFonts w:eastAsia="OXVXC+TimesNewRomanPSMT"/>
          <w:color w:val="000000"/>
          <w:sz w:val="22"/>
          <w:szCs w:val="22"/>
        </w:rPr>
        <w:t>ра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н</w:t>
      </w:r>
      <w:r w:rsidR="002358AA" w:rsidRPr="000323DF">
        <w:rPr>
          <w:rFonts w:eastAsia="OXVXC+TimesNewRomanPSMT"/>
          <w:color w:val="000000"/>
          <w:sz w:val="22"/>
          <w:szCs w:val="22"/>
        </w:rPr>
        <w:t>тов (ад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ъ</w:t>
      </w:r>
      <w:r w:rsidR="002358AA" w:rsidRPr="000323DF">
        <w:rPr>
          <w:rFonts w:eastAsia="OXVXC+TimesNewRomanPSMT"/>
          <w:color w:val="000000"/>
          <w:sz w:val="22"/>
          <w:szCs w:val="22"/>
        </w:rPr>
        <w:t>ю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н</w:t>
      </w:r>
      <w:r w:rsidR="002358AA" w:rsidRPr="000323DF">
        <w:rPr>
          <w:rFonts w:eastAsia="OXVXC+TimesNewRomanPSMT"/>
          <w:color w:val="000000"/>
          <w:sz w:val="22"/>
          <w:szCs w:val="22"/>
        </w:rPr>
        <w:t>ктов)» о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0323DF">
        <w:rPr>
          <w:rFonts w:eastAsia="OXVXC+TimesNewRomanPSMT"/>
          <w:color w:val="000000"/>
          <w:sz w:val="22"/>
          <w:szCs w:val="22"/>
        </w:rPr>
        <w:t xml:space="preserve"> 20.10.2021 </w:t>
      </w:r>
      <w:r w:rsidR="002358AA" w:rsidRPr="000323DF">
        <w:rPr>
          <w:rFonts w:eastAsia="OXVXC+TimesNewRomanPSMT"/>
          <w:color w:val="000000"/>
          <w:w w:val="99"/>
          <w:sz w:val="22"/>
          <w:szCs w:val="22"/>
        </w:rPr>
        <w:t>№</w:t>
      </w:r>
      <w:r w:rsidR="002358AA" w:rsidRPr="000323DF">
        <w:rPr>
          <w:rFonts w:eastAsia="OXVXC+TimesNewRomanPSMT"/>
          <w:color w:val="000000"/>
          <w:sz w:val="22"/>
          <w:szCs w:val="22"/>
        </w:rPr>
        <w:t xml:space="preserve"> 951</w:t>
      </w:r>
      <w:r w:rsidR="002358AA" w:rsidRPr="000323DF">
        <w:rPr>
          <w:color w:val="000000"/>
          <w:w w:val="104"/>
          <w:sz w:val="22"/>
          <w:szCs w:val="22"/>
        </w:rPr>
        <w:t>;</w:t>
      </w:r>
    </w:p>
    <w:p w14:paraId="2D48B13E" w14:textId="704D4C04" w:rsidR="00306F2A" w:rsidRDefault="00306F2A" w:rsidP="00306F2A">
      <w:pPr>
        <w:tabs>
          <w:tab w:val="right" w:leader="underscore" w:pos="9639"/>
        </w:tabs>
        <w:spacing w:line="240" w:lineRule="auto"/>
        <w:rPr>
          <w:sz w:val="22"/>
          <w:szCs w:val="22"/>
        </w:rPr>
      </w:pPr>
    </w:p>
    <w:p w14:paraId="770D1BF4" w14:textId="5C4AE8D0" w:rsidR="00306F2A" w:rsidRPr="008E5DBD" w:rsidRDefault="00E60747" w:rsidP="00306F2A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8E5DBD">
        <w:rPr>
          <w:b/>
          <w:kern w:val="3"/>
          <w:sz w:val="22"/>
          <w:szCs w:val="22"/>
        </w:rPr>
        <w:t>2</w:t>
      </w:r>
      <w:r w:rsidR="00306F2A" w:rsidRPr="008E5DBD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099D1D40" w14:textId="77777777" w:rsidR="001A2635" w:rsidRPr="007151A9" w:rsidRDefault="001A2635" w:rsidP="001A2635">
      <w:pPr>
        <w:tabs>
          <w:tab w:val="left" w:pos="1134"/>
        </w:tabs>
      </w:pPr>
      <w:r w:rsidRPr="007151A9">
        <w:t>Формируемые знания, умения и навыки</w:t>
      </w:r>
    </w:p>
    <w:p w14:paraId="6B77C93C" w14:textId="77777777" w:rsidR="001A2635" w:rsidRPr="007151A9" w:rsidRDefault="001A2635" w:rsidP="001A2635">
      <w:pPr>
        <w:tabs>
          <w:tab w:val="left" w:pos="0"/>
        </w:tabs>
        <w:spacing w:line="240" w:lineRule="auto"/>
      </w:pPr>
      <w:r w:rsidRPr="007151A9">
        <w:t>Знание: Теоретических основ постановки и проведения научных исследований; техники закладки и проведения опыта, методов анализа результатов, полученных в ходе решения исследовательских задач, видов отчетных документов и способов их подготовки, алгоритмы применения статистических методов анализа.</w:t>
      </w:r>
    </w:p>
    <w:p w14:paraId="6D6FEA58" w14:textId="77777777" w:rsidR="001A2635" w:rsidRPr="007151A9" w:rsidRDefault="001A2635" w:rsidP="001A2635">
      <w:pPr>
        <w:tabs>
          <w:tab w:val="left" w:pos="0"/>
        </w:tabs>
        <w:spacing w:line="240" w:lineRule="auto"/>
      </w:pPr>
      <w:r w:rsidRPr="007151A9">
        <w:t xml:space="preserve">Умение: Разрабатывать основные элементы научных исследований, проводить научные исследования; закладывать различные виды опытов, </w:t>
      </w:r>
      <w:proofErr w:type="gramStart"/>
      <w:r w:rsidRPr="007151A9">
        <w:t>Анализировать</w:t>
      </w:r>
      <w:proofErr w:type="gramEnd"/>
      <w:r w:rsidRPr="007151A9">
        <w:t xml:space="preserve"> результаты, полученные в ходе решения исследовательских задач и готовить отчетные документы.</w:t>
      </w:r>
    </w:p>
    <w:p w14:paraId="797E335E" w14:textId="77777777" w:rsidR="001A2635" w:rsidRPr="007151A9" w:rsidRDefault="001A2635" w:rsidP="001A2635">
      <w:pPr>
        <w:tabs>
          <w:tab w:val="left" w:pos="0"/>
        </w:tabs>
        <w:spacing w:line="240" w:lineRule="auto"/>
      </w:pPr>
      <w:r w:rsidRPr="007151A9">
        <w:t>Навык и / или опыт деятельности: Проведения научных исследований с различными видами сельскохозяйственных растений, анализа результатов, полученных в ходе решения исследовательских задач и подготовки отчетных документов.</w:t>
      </w:r>
    </w:p>
    <w:p w14:paraId="7D79263B" w14:textId="77777777" w:rsidR="001A2635" w:rsidRPr="00981718" w:rsidRDefault="001A2635" w:rsidP="001A2635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981718">
        <w:rPr>
          <w:b/>
          <w:kern w:val="3"/>
        </w:rPr>
        <w:t>3. Содержание программы учебной дисциплины:</w:t>
      </w:r>
    </w:p>
    <w:p w14:paraId="2BBCB107" w14:textId="77777777" w:rsidR="001A2635" w:rsidRPr="00981718" w:rsidRDefault="001A2635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981718">
        <w:rPr>
          <w:bCs/>
          <w:kern w:val="3"/>
        </w:rPr>
        <w:t>Основные изучаемые разделы дисциплины:</w:t>
      </w:r>
    </w:p>
    <w:p w14:paraId="6C4DC229" w14:textId="77777777" w:rsidR="00C96FC4" w:rsidRDefault="001A2635" w:rsidP="001A263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lang w:eastAsia="en-US"/>
        </w:rPr>
      </w:pPr>
      <w:r w:rsidRPr="00981718">
        <w:rPr>
          <w:b/>
          <w:lang w:eastAsia="en-US"/>
        </w:rPr>
        <w:t xml:space="preserve">Раздел 1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Методы исследований в научной агрономии</w:t>
      </w:r>
      <w:r w:rsidR="00C96FC4">
        <w:rPr>
          <w:lang w:eastAsia="en-US"/>
        </w:rPr>
        <w:t>».</w:t>
      </w:r>
    </w:p>
    <w:p w14:paraId="035F6AD0" w14:textId="77777777" w:rsidR="00C96FC4" w:rsidRDefault="001A2635" w:rsidP="001A263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lang w:eastAsia="en-US"/>
        </w:rPr>
      </w:pPr>
      <w:r w:rsidRPr="00981718">
        <w:rPr>
          <w:b/>
          <w:lang w:eastAsia="en-US"/>
        </w:rPr>
        <w:t xml:space="preserve">Раздел 2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Планирование опыта, его основные этапы</w:t>
      </w:r>
      <w:r w:rsidR="00C96FC4">
        <w:rPr>
          <w:lang w:eastAsia="en-US"/>
        </w:rPr>
        <w:t>».</w:t>
      </w:r>
    </w:p>
    <w:p w14:paraId="275E5C6F" w14:textId="77777777" w:rsidR="00C96FC4" w:rsidRDefault="001A2635" w:rsidP="001A263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lang w:eastAsia="en-US"/>
        </w:rPr>
      </w:pPr>
      <w:r w:rsidRPr="00981718">
        <w:rPr>
          <w:b/>
          <w:lang w:eastAsia="en-US"/>
        </w:rPr>
        <w:t xml:space="preserve">Раздел 3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Основные элементы методики опыта</w:t>
      </w:r>
      <w:r w:rsidR="00C96FC4">
        <w:rPr>
          <w:lang w:eastAsia="en-US"/>
        </w:rPr>
        <w:t>».</w:t>
      </w:r>
    </w:p>
    <w:p w14:paraId="35C3FA08" w14:textId="77777777" w:rsidR="00C96FC4" w:rsidRDefault="001A2635" w:rsidP="001A263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lang w:eastAsia="en-US"/>
        </w:rPr>
      </w:pPr>
      <w:r w:rsidRPr="00981718">
        <w:rPr>
          <w:b/>
          <w:lang w:eastAsia="en-US"/>
        </w:rPr>
        <w:t xml:space="preserve">Раздел 4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Закладка и проведение опыта</w:t>
      </w:r>
      <w:r w:rsidR="00C96FC4">
        <w:rPr>
          <w:lang w:eastAsia="en-US"/>
        </w:rPr>
        <w:t>».</w:t>
      </w:r>
    </w:p>
    <w:p w14:paraId="0895D91B" w14:textId="77777777" w:rsidR="00C96FC4" w:rsidRDefault="001A2635" w:rsidP="001A263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lang w:eastAsia="en-US"/>
        </w:rPr>
      </w:pPr>
      <w:r w:rsidRPr="00981718">
        <w:rPr>
          <w:b/>
          <w:lang w:eastAsia="en-US"/>
        </w:rPr>
        <w:t xml:space="preserve">Раздел 5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Однофакторные и многофакторные опыты</w:t>
      </w:r>
      <w:r w:rsidR="00C96FC4">
        <w:rPr>
          <w:lang w:eastAsia="en-US"/>
        </w:rPr>
        <w:t>».</w:t>
      </w:r>
    </w:p>
    <w:p w14:paraId="2781A142" w14:textId="77B68898" w:rsidR="00C96FC4" w:rsidRDefault="001A2635" w:rsidP="001A263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lang w:eastAsia="en-US"/>
        </w:rPr>
      </w:pPr>
      <w:r w:rsidRPr="00981718">
        <w:rPr>
          <w:b/>
          <w:lang w:eastAsia="en-US"/>
        </w:rPr>
        <w:t xml:space="preserve">Раздел 6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Частные вопросы методики полевого опыта</w:t>
      </w:r>
      <w:r w:rsidRPr="00981718">
        <w:rPr>
          <w:lang w:eastAsia="en-US"/>
        </w:rPr>
        <w:t>»</w:t>
      </w:r>
      <w:r w:rsidR="00C96FC4">
        <w:rPr>
          <w:lang w:eastAsia="en-US"/>
        </w:rPr>
        <w:t>.</w:t>
      </w:r>
    </w:p>
    <w:p w14:paraId="7C375865" w14:textId="77777777" w:rsidR="00C96FC4" w:rsidRDefault="001A2635" w:rsidP="001A263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lang w:eastAsia="en-US"/>
        </w:rPr>
      </w:pPr>
      <w:r w:rsidRPr="00981718">
        <w:rPr>
          <w:b/>
          <w:lang w:eastAsia="en-US"/>
        </w:rPr>
        <w:t xml:space="preserve">Раздел 7 </w:t>
      </w:r>
      <w:r w:rsidRPr="00981718">
        <w:rPr>
          <w:lang w:eastAsia="en-US"/>
        </w:rPr>
        <w:t>«Вариационная статистика»</w:t>
      </w:r>
      <w:r>
        <w:rPr>
          <w:lang w:eastAsia="en-US"/>
        </w:rPr>
        <w:t>.</w:t>
      </w:r>
    </w:p>
    <w:p w14:paraId="01347368" w14:textId="77777777" w:rsidR="00C96FC4" w:rsidRDefault="001A2635" w:rsidP="001A263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lang w:eastAsia="en-US"/>
        </w:rPr>
      </w:pPr>
      <w:r w:rsidRPr="00981718">
        <w:rPr>
          <w:b/>
          <w:lang w:eastAsia="en-US"/>
        </w:rPr>
        <w:t xml:space="preserve">Раздел 8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Дисперсионный анализ</w:t>
      </w:r>
      <w:r w:rsidRPr="00981718">
        <w:rPr>
          <w:lang w:eastAsia="en-US"/>
        </w:rPr>
        <w:t>»</w:t>
      </w:r>
      <w:r w:rsidR="00C96FC4">
        <w:rPr>
          <w:lang w:eastAsia="en-US"/>
        </w:rPr>
        <w:t>.</w:t>
      </w:r>
    </w:p>
    <w:p w14:paraId="00E01C4F" w14:textId="543C1DAB" w:rsidR="001A2635" w:rsidRPr="00981718" w:rsidRDefault="001A2635" w:rsidP="001A263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</w:rPr>
      </w:pPr>
      <w:r w:rsidRPr="00981718">
        <w:rPr>
          <w:b/>
          <w:lang w:eastAsia="en-US"/>
        </w:rPr>
        <w:t xml:space="preserve">Раздел 9 </w:t>
      </w:r>
      <w:r w:rsidRPr="00981718">
        <w:rPr>
          <w:lang w:eastAsia="en-US"/>
        </w:rPr>
        <w:t xml:space="preserve">«Корреляционно-регрессионный </w:t>
      </w:r>
      <w:r w:rsidRPr="00981718">
        <w:rPr>
          <w:rFonts w:hint="eastAsia"/>
          <w:lang w:eastAsia="en-US"/>
        </w:rPr>
        <w:t>анализ</w:t>
      </w:r>
      <w:r w:rsidRPr="00981718">
        <w:rPr>
          <w:lang w:eastAsia="en-US"/>
        </w:rPr>
        <w:t>»</w:t>
      </w:r>
    </w:p>
    <w:p w14:paraId="30AAB01B" w14:textId="07CD567B" w:rsidR="001A2635" w:rsidRPr="007C0A9B" w:rsidRDefault="00C96FC4" w:rsidP="00C96FC4">
      <w:pPr>
        <w:pStyle w:val="a5"/>
        <w:widowControl w:val="0"/>
        <w:tabs>
          <w:tab w:val="left" w:pos="0"/>
          <w:tab w:val="left" w:pos="709"/>
        </w:tabs>
        <w:spacing w:line="216" w:lineRule="auto"/>
        <w:ind w:left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="001A2635" w:rsidRPr="007C0A9B">
        <w:rPr>
          <w:b/>
          <w:bCs/>
          <w:sz w:val="24"/>
          <w:szCs w:val="24"/>
        </w:rPr>
        <w:t>Форма промежуточной аттестации</w:t>
      </w:r>
      <w:r w:rsidR="001A2635" w:rsidRPr="007C0A9B">
        <w:rPr>
          <w:sz w:val="24"/>
          <w:szCs w:val="24"/>
        </w:rPr>
        <w:t>: зачет</w:t>
      </w:r>
      <w:r w:rsidR="00F421FC">
        <w:rPr>
          <w:sz w:val="24"/>
          <w:szCs w:val="24"/>
        </w:rPr>
        <w:t>, зачет</w:t>
      </w:r>
      <w:bookmarkStart w:id="0" w:name="_GoBack"/>
      <w:bookmarkEnd w:id="0"/>
      <w:r w:rsidR="001A2635" w:rsidRPr="007C0A9B">
        <w:rPr>
          <w:sz w:val="24"/>
          <w:szCs w:val="24"/>
        </w:rPr>
        <w:t>.</w:t>
      </w:r>
    </w:p>
    <w:p w14:paraId="60219B3A" w14:textId="77777777" w:rsidR="00A05D76" w:rsidRPr="00580A0A" w:rsidRDefault="001A2635" w:rsidP="00A05D76">
      <w:pPr>
        <w:spacing w:line="240" w:lineRule="auto"/>
        <w:ind w:firstLine="567"/>
        <w:contextualSpacing/>
        <w:rPr>
          <w:sz w:val="22"/>
        </w:rPr>
      </w:pPr>
      <w:r w:rsidRPr="00981718">
        <w:rPr>
          <w:b/>
        </w:rPr>
        <w:t xml:space="preserve">5. Разработчики: </w:t>
      </w:r>
      <w:r w:rsidR="00A05D76" w:rsidRPr="00981718">
        <w:t xml:space="preserve">профессор кафедры земледелия и технологии хранения растениеводческой продукции </w:t>
      </w:r>
      <w:r w:rsidR="00A05D76">
        <w:t xml:space="preserve">д-р с.-х. наук, доцент </w:t>
      </w:r>
      <w:r w:rsidR="00A05D76" w:rsidRPr="00981718">
        <w:t>Авдеенко А.П.</w:t>
      </w:r>
      <w:r w:rsidR="00A05D76">
        <w:t xml:space="preserve">, доцент </w:t>
      </w:r>
      <w:r w:rsidR="00A05D76" w:rsidRPr="00981718">
        <w:t>кафедры земледелия и технологии хранения растениеводческой продукции</w:t>
      </w:r>
      <w:r w:rsidR="00A05D76">
        <w:t>,</w:t>
      </w:r>
      <w:r w:rsidR="00A05D76" w:rsidRPr="00981718">
        <w:t xml:space="preserve"> </w:t>
      </w:r>
      <w:r w:rsidR="00A05D76">
        <w:t>канд. с.-х. наук, доцент</w:t>
      </w:r>
      <w:r w:rsidR="00A05D76" w:rsidRPr="00981718">
        <w:t xml:space="preserve"> Авдеенко</w:t>
      </w:r>
      <w:r w:rsidR="00A05D76">
        <w:t xml:space="preserve"> С.С.</w:t>
      </w:r>
    </w:p>
    <w:p w14:paraId="756BF379" w14:textId="05065CC5" w:rsidR="009F79BE" w:rsidRPr="00580A0A" w:rsidRDefault="009F79BE" w:rsidP="001A2635">
      <w:pPr>
        <w:spacing w:line="240" w:lineRule="auto"/>
        <w:ind w:firstLine="567"/>
        <w:contextualSpacing/>
        <w:rPr>
          <w:sz w:val="22"/>
        </w:rPr>
      </w:pPr>
    </w:p>
    <w:sectPr w:rsidR="009F79BE" w:rsidRPr="0058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2A"/>
    <w:rsid w:val="000323DF"/>
    <w:rsid w:val="001A2635"/>
    <w:rsid w:val="001F7EA7"/>
    <w:rsid w:val="002358AA"/>
    <w:rsid w:val="002611CD"/>
    <w:rsid w:val="00306F2A"/>
    <w:rsid w:val="003E4FEA"/>
    <w:rsid w:val="00580A0A"/>
    <w:rsid w:val="00605ADF"/>
    <w:rsid w:val="00614805"/>
    <w:rsid w:val="007151A9"/>
    <w:rsid w:val="007308AC"/>
    <w:rsid w:val="007F1E3E"/>
    <w:rsid w:val="008E5DBD"/>
    <w:rsid w:val="0095329E"/>
    <w:rsid w:val="009F79BE"/>
    <w:rsid w:val="00A05D76"/>
    <w:rsid w:val="00C96FC4"/>
    <w:rsid w:val="00D46559"/>
    <w:rsid w:val="00E60747"/>
    <w:rsid w:val="00F25941"/>
    <w:rsid w:val="00F421FC"/>
    <w:rsid w:val="00F7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39A5"/>
  <w15:chartTrackingRefBased/>
  <w15:docId w15:val="{D0EBB5D7-A200-4D92-A9CE-DFD20A34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C3A44-0087-4489-B2DD-C99B137F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5</cp:revision>
  <dcterms:created xsi:type="dcterms:W3CDTF">2023-05-20T20:24:00Z</dcterms:created>
  <dcterms:modified xsi:type="dcterms:W3CDTF">2023-06-16T11:23:00Z</dcterms:modified>
</cp:coreProperties>
</file>